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JA-180P 无线被动红外探测器</w:t>
      </w:r>
    </w:p>
    <w:bookmarkEnd w:id="0"/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drawing>
          <wp:inline distT="0" distB="0" distL="114300" distR="114300">
            <wp:extent cx="1391285" cy="1318895"/>
            <wp:effectExtent l="0" t="0" r="0" b="14605"/>
            <wp:docPr id="2" name="图片 3" descr="JA-8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JA-80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131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autoSpaceDN w:val="0"/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这是一款新</w:t>
      </w:r>
      <w:r>
        <w:rPr>
          <w:rFonts w:hint="eastAsia" w:ascii="宋体" w:hAnsi="宋体" w:cs="宋体"/>
          <w:lang w:eastAsia="zh-CN"/>
        </w:rPr>
        <w:t>无线</w:t>
      </w:r>
      <w:r>
        <w:rPr>
          <w:rFonts w:hint="eastAsia" w:ascii="宋体" w:hAnsi="宋体" w:eastAsia="宋体" w:cs="宋体"/>
        </w:rPr>
        <w:t>红外探测器，它可提供</w:t>
      </w:r>
      <w:r>
        <w:rPr>
          <w:rFonts w:hint="eastAsia" w:ascii="宋体" w:hAnsi="宋体" w:cs="宋体"/>
          <w:lang w:val="en-US" w:eastAsia="zh-CN"/>
        </w:rPr>
        <w:t>1路有线报警输入，探测器本身可作为无线发射器使用</w:t>
      </w:r>
      <w:r>
        <w:rPr>
          <w:rFonts w:hint="eastAsia" w:ascii="宋体" w:hAnsi="宋体" w:eastAsia="宋体" w:cs="宋体"/>
        </w:rPr>
        <w:t>。该探测器适用于Jablotron</w:t>
      </w:r>
      <w:r>
        <w:rPr>
          <w:rFonts w:hint="eastAsia" w:ascii="宋体" w:hAnsi="宋体" w:cs="宋体"/>
          <w:lang w:val="en-US" w:eastAsia="zh-CN"/>
        </w:rPr>
        <w:t>100</w:t>
      </w:r>
      <w:r>
        <w:rPr>
          <w:rFonts w:hint="eastAsia" w:ascii="宋体" w:hAnsi="宋体" w:eastAsia="宋体" w:cs="宋体"/>
        </w:rPr>
        <w:t>报警系统。探测范围：12</w:t>
      </w:r>
      <w:r>
        <w:rPr>
          <w:rFonts w:hint="eastAsia" w:ascii="宋体" w:hAnsi="宋体" w:cs="宋体"/>
          <w:lang w:val="en-US" w:eastAsia="zh-CN"/>
        </w:rPr>
        <w:t>×</w:t>
      </w:r>
      <w:r>
        <w:rPr>
          <w:rFonts w:hint="eastAsia" w:ascii="宋体" w:hAnsi="宋体" w:eastAsia="宋体" w:cs="宋体"/>
        </w:rPr>
        <w:t>12</w:t>
      </w:r>
      <w:r>
        <w:rPr>
          <w:rFonts w:hint="eastAsia" w:ascii="宋体" w:hAnsi="宋体" w:cs="宋体"/>
          <w:lang w:val="en-US" w:eastAsia="zh-CN"/>
        </w:rPr>
        <w:t>m</w:t>
      </w:r>
      <w:r>
        <w:rPr>
          <w:rFonts w:hint="eastAsia" w:ascii="宋体" w:hAnsi="宋体" w:eastAsia="宋体" w:cs="宋体"/>
        </w:rPr>
        <w:t>.</w:t>
      </w:r>
    </w:p>
    <w:p>
      <w:pPr>
        <w:autoSpaceDN w:val="0"/>
        <w:spacing w:line="360" w:lineRule="auto"/>
        <w:rPr>
          <w:rFonts w:hint="eastAsia" w:ascii="宋体" w:hAnsi="宋体" w:eastAsia="宋体" w:cs="宋体"/>
        </w:rPr>
      </w:pPr>
      <w:r>
        <w:drawing>
          <wp:inline distT="0" distB="0" distL="114300" distR="114300">
            <wp:extent cx="5267960" cy="2450465"/>
            <wp:effectExtent l="0" t="0" r="8890" b="698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45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autoSpaceDN w:val="0"/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该探测器带防宠物功能（选配功能，须更换防宠物型镜片），探测器通过OASIS无线协议与主机通信，采用锂电池供电。</w:t>
      </w:r>
    </w:p>
    <w:p>
      <w:pPr>
        <w:autoSpaceDN w:val="0"/>
        <w:spacing w:line="360" w:lineRule="auto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两级灵敏度可调</w:t>
      </w:r>
    </w:p>
    <w:p>
      <w:pPr>
        <w:autoSpaceDN w:val="0"/>
        <w:spacing w:line="360" w:lineRule="auto"/>
        <w:rPr>
          <w:rFonts w:hint="eastAsia" w:ascii="宋体" w:hAnsi="宋体" w:cs="宋体"/>
          <w:lang w:eastAsia="zh-CN"/>
        </w:rPr>
      </w:pPr>
      <w:r>
        <w:rPr>
          <w:rFonts w:hint="eastAsia" w:ascii="宋体" w:hAnsi="宋体" w:cs="宋体"/>
          <w:lang w:eastAsia="zh-CN"/>
        </w:rPr>
        <w:t>省电时间可调</w:t>
      </w:r>
    </w:p>
    <w:p>
      <w:pPr>
        <w:autoSpaceDN w:val="0"/>
        <w:spacing w:line="360" w:lineRule="auto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4种镜片可选：</w:t>
      </w:r>
    </w:p>
    <w:p>
      <w:pPr>
        <w:autoSpaceDN w:val="0"/>
        <w:spacing w:line="360" w:lineRule="auto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标准型：12M*120°</w:t>
      </w:r>
    </w:p>
    <w:p>
      <w:pPr>
        <w:autoSpaceDN w:val="0"/>
        <w:spacing w:line="360" w:lineRule="auto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防宠物型：7M*90°</w:t>
      </w:r>
    </w:p>
    <w:p>
      <w:pPr>
        <w:autoSpaceDN w:val="0"/>
        <w:spacing w:line="360" w:lineRule="auto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幕帘型：10M*10°</w:t>
      </w:r>
    </w:p>
    <w:p>
      <w:pPr>
        <w:autoSpaceDN w:val="0"/>
        <w:spacing w:line="360" w:lineRule="auto"/>
        <w:rPr>
          <w:rFonts w:hint="eastAsia" w:ascii="宋体" w:hAnsi="宋体" w:cs="宋体"/>
          <w:lang w:val="en-US" w:eastAsia="zh-CN"/>
        </w:rPr>
      </w:pPr>
      <w:r>
        <w:rPr>
          <w:rFonts w:hint="eastAsia" w:ascii="宋体" w:hAnsi="宋体" w:cs="宋体"/>
          <w:lang w:val="en-US" w:eastAsia="zh-CN"/>
        </w:rPr>
        <w:t>长距离型：25M*25°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技术规格</w:t>
      </w:r>
    </w:p>
    <w:p>
      <w:pPr>
        <w:numPr>
          <w:ilvl w:val="0"/>
          <w:numId w:val="0"/>
        </w:numP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电源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类型CR14500, 3.6伏锂电池</w:t>
      </w:r>
    </w:p>
    <w:p>
      <w:pPr>
        <w:numPr>
          <w:ilvl w:val="0"/>
          <w:numId w:val="0"/>
        </w:numP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典型的电池寿命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大约三年 (5分钟的睡眠模式)</w:t>
      </w:r>
    </w:p>
    <w:p>
      <w:pPr>
        <w:numPr>
          <w:ilvl w:val="0"/>
          <w:numId w:val="0"/>
        </w:numP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通讯范围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大约 300m (开阔区域)</w:t>
      </w:r>
    </w:p>
    <w:p>
      <w:pPr>
        <w:numPr>
          <w:ilvl w:val="0"/>
          <w:numId w:val="0"/>
        </w:numP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建议安装高度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2.0 ~2.5 m 相对于水平地面高度</w:t>
      </w:r>
    </w:p>
    <w:p>
      <w:pPr>
        <w:numPr>
          <w:ilvl w:val="0"/>
          <w:numId w:val="0"/>
        </w:numP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探测角度/探测距离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120° / 12 m (标准镜片)</w:t>
      </w:r>
    </w:p>
    <w:p>
      <w:pPr>
        <w:numPr>
          <w:ilvl w:val="0"/>
          <w:numId w:val="0"/>
        </w:numP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安装环境 参照EN 50131-1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室内安装II级.</w:t>
      </w:r>
    </w:p>
    <w:p>
      <w:pPr>
        <w:numPr>
          <w:ilvl w:val="0"/>
          <w:numId w:val="0"/>
        </w:numP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适应温度范围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-10 ~ +40 °C</w:t>
      </w:r>
    </w:p>
    <w:p>
      <w:pPr>
        <w:numPr>
          <w:ilvl w:val="0"/>
          <w:numId w:val="0"/>
        </w:numP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外形尺寸  110×60×55mm</w:t>
      </w:r>
    </w:p>
    <w:p>
      <w:pPr>
        <w:numPr>
          <w:ilvl w:val="0"/>
          <w:numId w:val="0"/>
        </w:numP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EN 50131-1,CLC/TS 50131-2-2, EN 50131-5-3 classification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2级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符合规定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ETSI EN 300220, EN 50130-4, EN 55022, EN 60950-1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执行标准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ab/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ERC REC 70-03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150C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澳星-阮</cp:lastModifiedBy>
  <dcterms:modified xsi:type="dcterms:W3CDTF">2018-05-16T01:56:29Z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